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8D" w:rsidRDefault="009C548D">
      <w:pPr>
        <w:pStyle w:val="ConsPlusNormal"/>
        <w:jc w:val="both"/>
      </w:pPr>
    </w:p>
    <w:p w:rsidR="00637C55" w:rsidRPr="00637C55" w:rsidRDefault="00637C55" w:rsidP="00637C55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bookmarkStart w:id="0" w:name="P37"/>
      <w:bookmarkEnd w:id="0"/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1</w:t>
      </w:r>
    </w:p>
    <w:p w:rsidR="00637C55" w:rsidRDefault="00637C55" w:rsidP="00637C55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E404BB" w:rsidRPr="00E404BB" w:rsidRDefault="00637C55" w:rsidP="00637C55">
      <w:pPr>
        <w:spacing w:after="72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к Государственной программе</w:t>
      </w:r>
    </w:p>
    <w:p w:rsidR="00DD4862" w:rsidRDefault="008E6351" w:rsidP="00DD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</w:t>
      </w:r>
    </w:p>
    <w:p w:rsidR="00DD4862" w:rsidRDefault="00DD4862" w:rsidP="00DD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предоставления и распределения субсидии местным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>бюджетам из областного бюджета на повышение уровня подготовки лиц,</w:t>
      </w:r>
    </w:p>
    <w:p w:rsidR="00DD4862" w:rsidRDefault="00DD4862" w:rsidP="0063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замещающих муниципальные должности, и муниципальных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 xml:space="preserve">служащих по вопросам деятельности органов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>местного самоуправления</w:t>
      </w:r>
    </w:p>
    <w:p w:rsidR="00DD4862" w:rsidRDefault="00DD4862" w:rsidP="00637C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DD4862" w:rsidRPr="00DD4862" w:rsidRDefault="00DD4862" w:rsidP="00637C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1. Порядок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органов местного самоуправления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Порядок) устанавливает правила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органов местного самоуправления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субсидия).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2. Субсидия предоставляется с целью повышения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</w:t>
      </w:r>
      <w:bookmarkStart w:id="1" w:name="_Hlk185240773"/>
      <w:r w:rsidRPr="00DD4862">
        <w:rPr>
          <w:rFonts w:ascii="Times New Roman" w:hAnsi="Times New Roman" w:cs="Times New Roman"/>
          <w:kern w:val="0"/>
          <w:sz w:val="28"/>
          <w:szCs w:val="28"/>
        </w:rPr>
        <w:t>органов местного самоуправления</w:t>
      </w:r>
      <w:bookmarkEnd w:id="1"/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3. Субсидия предоставляется министерством внутренней политики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министерство).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4. Субсидия предоставляется бюджетам муниципальных образований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муниципальные образования), направивших заявки на осуществление расходов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вопросам деятельности органов местного самоуправления.</w:t>
      </w:r>
    </w:p>
    <w:p w:rsid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 w:rsidR="0062424D">
        <w:rPr>
          <w:rFonts w:ascii="Times New Roman" w:hAnsi="Times New Roman" w:cs="Times New Roman"/>
          <w:kern w:val="0"/>
          <w:sz w:val="28"/>
          <w:szCs w:val="28"/>
        </w:rPr>
        <w:t>Объем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субсидии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i-му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 определяется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следующей формуле:</w:t>
      </w:r>
    </w:p>
    <w:p w:rsidR="00AC1B26" w:rsidRDefault="00AC1B26" w:rsidP="00A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1A1B1A" w:rsidRPr="007D0B54" w:rsidRDefault="0093079C" w:rsidP="007D0B5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  <w:lang w:val="en-US"/>
          </w:rPr>
          <m:t>=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w:bookmarkStart w:id="2" w:name="_Hlk185241918"/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3" w:name="_Hlk179206893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w:bookmarkStart w:id="4" w:name="_Hlk17920690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4"/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5" w:name="_Hlk179206914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5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w:bookmarkEnd w:id="2"/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</m:e>
        </m:d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×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,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где</m:t>
        </m:r>
      </m:oMath>
      <w:r w:rsidR="007D0B54">
        <w:rPr>
          <w:rFonts w:ascii="Times New Roman" w:eastAsiaTheme="minorEastAsia" w:hAnsi="Times New Roman" w:cs="Times New Roman"/>
          <w:sz w:val="27"/>
          <w:szCs w:val="27"/>
        </w:rPr>
        <w:t>:</w:t>
      </w:r>
    </w:p>
    <w:p w:rsidR="00A21623" w:rsidRPr="00EB05AA" w:rsidRDefault="00A21623" w:rsidP="00A21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V</w:t>
      </w:r>
      <w:r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i-му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образованию;</w:t>
      </w:r>
    </w:p>
    <w:p w:rsidR="00DD4862" w:rsidRPr="00DD4862" w:rsidRDefault="0093079C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kern w:val="0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 по повышению квалификации лиц, замещающих муниципальные должности, и муниципальных служащих по вопросам деятельности органов местного самоуправления;</w:t>
      </w:r>
    </w:p>
    <w:p w:rsidR="00DD4862" w:rsidRPr="00DD4862" w:rsidRDefault="0093079C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6" w:name="_Hlk179207290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услуги;</w:t>
      </w:r>
    </w:p>
    <w:p w:rsidR="00DD4862" w:rsidRPr="00DD4862" w:rsidRDefault="0093079C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w:bookmarkEnd w:id="6"/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7" w:name="_Hlk179207000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стоимость n-й образовательной услуги по повышению квалификации лиц, замещающих муниципальные должности, и муниципальных служащих по вопросам деятельности органов местного самоуправления;</w:t>
      </w:r>
    </w:p>
    <w:p w:rsidR="00DD4862" w:rsidRPr="00DD4862" w:rsidRDefault="0093079C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w:bookmarkEnd w:id="7"/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8" w:name="_Hlk179207124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по стоимости n-й образовательной услуги</w:t>
      </w:r>
      <w:bookmarkEnd w:id="8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DD4862" w:rsidRPr="00DD4862" w:rsidRDefault="0093079C" w:rsidP="00DD48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образовательн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>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услуг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 профессиональной переподготовке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DD4862" w:rsidRDefault="0093079C" w:rsidP="009F4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служащих, подлежащих направлению на профессиональную переподготовку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9F4F56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</w:t>
      </w:r>
      <w:r w:rsidR="009F4F56" w:rsidRPr="00DD4862">
        <w:rPr>
          <w:rFonts w:ascii="Times New Roman" w:hAnsi="Times New Roman" w:cs="Times New Roman"/>
          <w:kern w:val="0"/>
          <w:sz w:val="28"/>
          <w:szCs w:val="28"/>
        </w:rPr>
        <w:t>й образовательной услуги;</w:t>
      </w:r>
    </w:p>
    <w:p w:rsidR="00AC1B26" w:rsidRPr="00DD4862" w:rsidRDefault="0093079C" w:rsidP="00AC1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AC1B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>стоимость n-й образовательной услуги</w:t>
      </w:r>
      <w:r w:rsidR="00AC1B26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профессиональной переподготовке лиц, замещающих муниципальные должности, </w:t>
      </w:r>
      <w:r w:rsidR="00AC1B26">
        <w:rPr>
          <w:rFonts w:ascii="Times New Roman" w:hAnsi="Times New Roman" w:cs="Times New Roman"/>
          <w:kern w:val="0"/>
          <w:sz w:val="28"/>
          <w:szCs w:val="28"/>
        </w:rPr>
        <w:br/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AC1B26" w:rsidRPr="00AC1B26" w:rsidRDefault="0093079C" w:rsidP="00AC1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AC1B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лиц, замещающих муниципальные должности,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br/>
        <w:t>и муниципальных служащих, подлежащих направлению на профессиональную переподготовку</w:t>
      </w:r>
      <w:r w:rsidR="00AC1B2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1B26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t>по стоимости n-й образовательной услуги;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уровень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софинансирования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Кировской областью объема расходного обязательства муниципального образования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равный 99%.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6. Условиями предоставления субсидии являются: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наличие муниципальной программы, содержащей мероприятия, направленные на повышение квалификации и профессиональную переподготовку лиц, замещающих муниципальные должности,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заключение между министерством и администрацией муниципального образования соглашения о предоставлении субсидии. Соглашени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(дополнительные соглашения к соглашениям о предоставлении субсидии) заключаются в электронном виде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автоматизированной системе управления бюджетным процессом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Кировской области в соответствии с типовой формой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местному бюджету из областного бюджета, утверждаемой министерством финансов Кировской области.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субсидий, 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закона;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централизация закупок, предусмотренная </w:t>
      </w:r>
      <w:hyperlink r:id="rId6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частью 7 статьи 26</w:t>
        </w:r>
      </w:hyperlink>
      <w:r w:rsidRPr="00523E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Федерального закона от 05.04.2013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нужд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, за исключением субсидий, предоставляемых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 софинансирование муниципальных контрактов (контрактов, договоров), заключаемых на основании </w:t>
      </w:r>
      <w:hyperlink r:id="rId7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части 1 статьи 93</w:t>
        </w:r>
      </w:hyperlink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05.04.2013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7. Результатом использования субсидии является количество лиц, замещающих муниципальные должности, и муниципальных служащих, повысивших квалификацию и прошедших профессиональную переподготовку. Значения результата использования субсидии по муниципальным образованиям устанавливаются правовым актом министерства, согласованным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с министерством финансов Кировской области до заключения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(дополнительных соглашений к соглашению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субсидии). Снижение значений результата использования субсидии в течение текущего финансового года возможно только в случае сокращения размеров субсидии.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8. Для заключения соглашения администраци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образовани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размеща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 в электронном виде в автоматизированной системе управления бюджетным процессом Кировской области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выписку из муниципальной программы, предусматривающей мероприятия, направленные на повышение квалификации и профессиональную переподготовку лиц, замещающих муниципальные должности, и муниципальных служащих 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вопросам деятельности органов местного самоуправления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9. Перечисление субсидии осуществляется в установленном порядке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бюджеты муниципальных образований в пределах сумм, распределенных законом области об областном бюджете на очередной финансовый год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плановый период, и (или) в пределах лимитов бюджетных обязательств, доведенных до министерства, в течение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трех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рабочих дней после </w:t>
      </w:r>
      <w:r w:rsidR="00740F7F">
        <w:rPr>
          <w:rFonts w:ascii="Times New Roman" w:hAnsi="Times New Roman" w:cs="Times New Roman"/>
          <w:kern w:val="0"/>
          <w:sz w:val="28"/>
          <w:szCs w:val="28"/>
        </w:rPr>
        <w:t xml:space="preserve">дня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Для перечисления субсидии администрации муниципальных образований представляют в министерство кассовую заявку о потребности в субсидии по форме, предусмотренной соглашением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а также надлежащим образом заверенные копии документов, подтверждающих возникновение денежных обязательств муниципальных образований: муниципальные контракты (договоры), акты оказания услуг, счета на оплату.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администрации муниципальных образований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согласованию с министерством до поступления субсидии в местный бюджет направили средства местных бюджетов на цели, связанные </w:t>
      </w:r>
      <w:r w:rsidR="002856CE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10. После перечисления субсидии администрации муниципальных образований представляют в министерство по формам, предусмотренным соглашением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субсидии, следующую отчетность: </w:t>
      </w:r>
    </w:p>
    <w:p w:rsidR="00DD4862" w:rsidRPr="00DD4862" w:rsidRDefault="00D62E03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об использовании средств субсидии в срок до 3-го числа месяца, следующего за отчетным месяцем, в котором были произведены расходы (оказаны услуги);</w:t>
      </w:r>
    </w:p>
    <w:p w:rsidR="00DD4862" w:rsidRPr="00DD4862" w:rsidRDefault="00D62E03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 расходах местного бюджета, в целях софинансирования которых предоставлена субсидия, ежеквартально, в срок до 5-го числа месяца, следующего за отчетным кварталом;</w:t>
      </w:r>
    </w:p>
    <w:p w:rsidR="00DD4862" w:rsidRPr="00DD4862" w:rsidRDefault="00DD4862" w:rsidP="00D62E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итогам года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достижении значений результата использования субсидии в срок до 10 января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62E03" w:rsidRPr="00D62E03">
        <w:rPr>
          <w:rFonts w:ascii="Times New Roman" w:hAnsi="Times New Roman" w:cs="Times New Roman"/>
          <w:kern w:val="0"/>
          <w:sz w:val="28"/>
          <w:szCs w:val="28"/>
        </w:rPr>
        <w:t>года, следующего за отчетным.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11. Министерство осуществляет контроль за соблюдением получателями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Органы государственного финансового контроля осуществляют проверку соблюдения получателями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12. Основаниями для применения мер ответственности </w:t>
      </w:r>
      <w:r w:rsidR="002856CE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к муниципальным образованиям при невыполнении ими обязательств, установленных соглашениями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меры ответственности), являются: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недостижение муниципальными образованиями значений результата использования субсидии, предусмотренного соглашением о предоставлении субсидии;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неиспользование муниципальными образованиями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 При недостижении муниципальными образованиями по состоянию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на 31 декабря года предоставления субсидии значений результата использования субсидии, предусмотренного соглашением о предоставлении субсидии, применение мер ответственности к муниципальным образованиям осуществляется в следующем порядке: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13.1. В случае установления фактов недостижения значений результата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Министерство до 1 мая текущего финансового года представляет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министерство финансов Кировской области информацию о возврате (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невозврате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) муниципальными образованиями средств местных бюджетов </w:t>
      </w:r>
      <w:r w:rsidR="002856CE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доход областного бюджета в установленный срок.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13.2. В случае установления фактов недостижения значений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местных бюджетов в доход областного бюджета в указанные в данных требованиях сроки.</w:t>
      </w:r>
    </w:p>
    <w:p w:rsidR="00DD4862" w:rsidRPr="00DD4862" w:rsidRDefault="005136D0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иное не установлено</w:t>
      </w:r>
      <w:r w:rsidR="002A70BD" w:rsidRPr="002A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BD" w:rsidRPr="00700D1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>, о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бъем средств, подлежащий возврату из местного бюджета i-го муниципального образования в доход областного бюджета 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(</w:t>
      </w:r>
      <w:bookmarkStart w:id="9" w:name="_Hlk155703330"/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V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</w:rPr>
        <w:t>i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</w:rPr>
        <w:t>B</w:t>
      </w:r>
      <w:bookmarkEnd w:id="9"/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)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, рассчитывается по формуле:</w:t>
      </w:r>
    </w:p>
    <w:p w:rsidR="00DD4862" w:rsidRPr="00DD4862" w:rsidRDefault="00DD4862" w:rsidP="0014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143099" w:rsidRPr="00143099" w:rsidRDefault="00143099" w:rsidP="0014309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</w:rPr>
      </w:pPr>
      <w:proofErr w:type="spellStart"/>
      <w:r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V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</w:rPr>
        <w:t>i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</w:rPr>
        <w:t>B</w:t>
      </w:r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 xml:space="preserve"> = </w:t>
      </w:r>
      <w:bookmarkStart w:id="10" w:name="_Hlk155703369"/>
      <w:proofErr w:type="spellStart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V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bookmarkEnd w:id="10"/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 xml:space="preserve">×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k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>, где:</w:t>
      </w:r>
    </w:p>
    <w:p w:rsidR="00DD4862" w:rsidRPr="00DD4862" w:rsidRDefault="00DD4862" w:rsidP="0014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D4862" w:rsidRPr="00DD4862" w:rsidRDefault="00717DC3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V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proofErr w:type="spellEnd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по состоянию на 1 января текущего финансового года, потребность в котором не подтверждена министерством;</w:t>
      </w:r>
    </w:p>
    <w:p w:rsidR="00DD4862" w:rsidRPr="00DD4862" w:rsidRDefault="00C76315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коэффициент, равный 0,01.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в порядке и на основании документов, </w:t>
      </w:r>
      <w:r w:rsidR="00724E14">
        <w:rPr>
          <w:rFonts w:ascii="Times New Roman" w:hAnsi="Times New Roman" w:cs="Times New Roman"/>
          <w:kern w:val="0"/>
          <w:sz w:val="28"/>
          <w:szCs w:val="28"/>
        </w:rPr>
        <w:t>которые установлены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 w:rsidR="00724E14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то установленные меры ответственности не применяются.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средства местных бюджетов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муниципальными образованиями по состоянию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 31 декабря года предоставления субсидии субсидия не использована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размере, установленном законом области об областном бюджете, министерство в срок до 1 февраля текущего финансового года направляет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главам администраций муниципальных образований уведомления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необходимости применения меры дисциплинарной ответственности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Главы администраций муниципальных образований до 1 апреля текущего финансового года представляют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министерств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информацию </w:t>
      </w:r>
      <w:r w:rsidR="002856CE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применении мер дисциплинарной ответственности.</w:t>
      </w:r>
    </w:p>
    <w:p w:rsidR="00DD4862" w:rsidRDefault="00DD4862" w:rsidP="00DD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DD4862" w:rsidRDefault="00DD4862" w:rsidP="00DD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DD4862" w:rsidRPr="00E404BB" w:rsidRDefault="00523ED1" w:rsidP="00523ED1">
      <w:pPr>
        <w:spacing w:after="7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__________</w:t>
      </w:r>
    </w:p>
    <w:sectPr w:rsidR="00DD4862" w:rsidRPr="00E404BB" w:rsidSect="00144492">
      <w:headerReference w:type="default" r:id="rId8"/>
      <w:headerReference w:type="first" r:id="rId9"/>
      <w:pgSz w:w="11906" w:h="16838"/>
      <w:pgMar w:top="1134" w:right="624" w:bottom="1134" w:left="1758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E7" w:rsidRDefault="00EB45E7" w:rsidP="00E404BB">
      <w:pPr>
        <w:spacing w:after="0" w:line="240" w:lineRule="auto"/>
      </w:pPr>
      <w:r>
        <w:separator/>
      </w:r>
    </w:p>
  </w:endnote>
  <w:endnote w:type="continuationSeparator" w:id="0">
    <w:p w:rsidR="00EB45E7" w:rsidRDefault="00EB45E7" w:rsidP="00E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E7" w:rsidRDefault="00EB45E7" w:rsidP="00E404BB">
      <w:pPr>
        <w:spacing w:after="0" w:line="240" w:lineRule="auto"/>
      </w:pPr>
      <w:r>
        <w:separator/>
      </w:r>
    </w:p>
  </w:footnote>
  <w:footnote w:type="continuationSeparator" w:id="0">
    <w:p w:rsidR="00EB45E7" w:rsidRDefault="00EB45E7" w:rsidP="00E4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38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F6B" w:rsidRPr="00AE5043" w:rsidRDefault="0093079C">
        <w:pPr>
          <w:pStyle w:val="a3"/>
          <w:jc w:val="center"/>
          <w:rPr>
            <w:rFonts w:ascii="Times New Roman" w:hAnsi="Times New Roman" w:cs="Times New Roman"/>
          </w:rPr>
        </w:pPr>
        <w:r w:rsidRPr="00AE5043">
          <w:rPr>
            <w:rFonts w:ascii="Times New Roman" w:hAnsi="Times New Roman" w:cs="Times New Roman"/>
          </w:rPr>
          <w:fldChar w:fldCharType="begin"/>
        </w:r>
        <w:r w:rsidR="00423F6B" w:rsidRPr="00AE5043">
          <w:rPr>
            <w:rFonts w:ascii="Times New Roman" w:hAnsi="Times New Roman" w:cs="Times New Roman"/>
          </w:rPr>
          <w:instrText>PAGE   \* MERGEFORMAT</w:instrText>
        </w:r>
        <w:r w:rsidRPr="00AE5043">
          <w:rPr>
            <w:rFonts w:ascii="Times New Roman" w:hAnsi="Times New Roman" w:cs="Times New Roman"/>
          </w:rPr>
          <w:fldChar w:fldCharType="separate"/>
        </w:r>
        <w:r w:rsidR="002856CE">
          <w:rPr>
            <w:rFonts w:ascii="Times New Roman" w:hAnsi="Times New Roman" w:cs="Times New Roman"/>
            <w:noProof/>
          </w:rPr>
          <w:t>16</w:t>
        </w:r>
        <w:r w:rsidRPr="00AE5043">
          <w:rPr>
            <w:rFonts w:ascii="Times New Roman" w:hAnsi="Times New Roman" w:cs="Times New Roman"/>
          </w:rPr>
          <w:fldChar w:fldCharType="end"/>
        </w:r>
      </w:p>
    </w:sdtContent>
  </w:sdt>
  <w:p w:rsidR="00E404BB" w:rsidRDefault="00E404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B" w:rsidRDefault="00423F6B">
    <w:pPr>
      <w:pStyle w:val="a3"/>
      <w:jc w:val="center"/>
    </w:pPr>
  </w:p>
  <w:p w:rsidR="008E6351" w:rsidRDefault="008E63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48D"/>
    <w:rsid w:val="00000345"/>
    <w:rsid w:val="00022917"/>
    <w:rsid w:val="0002589E"/>
    <w:rsid w:val="00121A8C"/>
    <w:rsid w:val="00122593"/>
    <w:rsid w:val="00143099"/>
    <w:rsid w:val="00144492"/>
    <w:rsid w:val="001A1B1A"/>
    <w:rsid w:val="001A7D1F"/>
    <w:rsid w:val="001D004C"/>
    <w:rsid w:val="001D5337"/>
    <w:rsid w:val="00265FA8"/>
    <w:rsid w:val="002856CE"/>
    <w:rsid w:val="002A70BD"/>
    <w:rsid w:val="00336102"/>
    <w:rsid w:val="003C2132"/>
    <w:rsid w:val="00423F6B"/>
    <w:rsid w:val="004846FE"/>
    <w:rsid w:val="00491709"/>
    <w:rsid w:val="005136D0"/>
    <w:rsid w:val="00523ED1"/>
    <w:rsid w:val="00584FE0"/>
    <w:rsid w:val="005D09CC"/>
    <w:rsid w:val="0062424D"/>
    <w:rsid w:val="00637C55"/>
    <w:rsid w:val="006E4357"/>
    <w:rsid w:val="006E52E9"/>
    <w:rsid w:val="00717DC3"/>
    <w:rsid w:val="00724E14"/>
    <w:rsid w:val="007348AE"/>
    <w:rsid w:val="00736746"/>
    <w:rsid w:val="00740F7F"/>
    <w:rsid w:val="00753E4C"/>
    <w:rsid w:val="007D0B54"/>
    <w:rsid w:val="007D5DD6"/>
    <w:rsid w:val="00816CC9"/>
    <w:rsid w:val="00844870"/>
    <w:rsid w:val="0089551B"/>
    <w:rsid w:val="008E6351"/>
    <w:rsid w:val="00914E63"/>
    <w:rsid w:val="0093079C"/>
    <w:rsid w:val="009329B0"/>
    <w:rsid w:val="00966F6A"/>
    <w:rsid w:val="00982868"/>
    <w:rsid w:val="009868BB"/>
    <w:rsid w:val="009C548D"/>
    <w:rsid w:val="009D20B5"/>
    <w:rsid w:val="009F4F56"/>
    <w:rsid w:val="00A21623"/>
    <w:rsid w:val="00AC1B26"/>
    <w:rsid w:val="00AE5043"/>
    <w:rsid w:val="00B203EF"/>
    <w:rsid w:val="00B64273"/>
    <w:rsid w:val="00BA16F9"/>
    <w:rsid w:val="00BA2BD1"/>
    <w:rsid w:val="00BE6CB7"/>
    <w:rsid w:val="00C60512"/>
    <w:rsid w:val="00C76315"/>
    <w:rsid w:val="00C86014"/>
    <w:rsid w:val="00CC1257"/>
    <w:rsid w:val="00D62E03"/>
    <w:rsid w:val="00DC4A49"/>
    <w:rsid w:val="00DC726F"/>
    <w:rsid w:val="00DD4862"/>
    <w:rsid w:val="00E00ECC"/>
    <w:rsid w:val="00E404BB"/>
    <w:rsid w:val="00EA371F"/>
    <w:rsid w:val="00EB05AA"/>
    <w:rsid w:val="00EB45E7"/>
    <w:rsid w:val="00ED4DD1"/>
    <w:rsid w:val="00F119E5"/>
    <w:rsid w:val="00F26F77"/>
    <w:rsid w:val="00F7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4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4BB"/>
  </w:style>
  <w:style w:type="paragraph" w:styleId="a5">
    <w:name w:val="footer"/>
    <w:basedOn w:val="a"/>
    <w:link w:val="a6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4BB"/>
  </w:style>
  <w:style w:type="character" w:styleId="a7">
    <w:name w:val="Placeholder Text"/>
    <w:basedOn w:val="a0"/>
    <w:uiPriority w:val="99"/>
    <w:semiHidden/>
    <w:rsid w:val="001A1B1A"/>
    <w:rPr>
      <w:color w:val="666666"/>
    </w:rPr>
  </w:style>
  <w:style w:type="paragraph" w:customStyle="1" w:styleId="1">
    <w:name w:val="Стиль1"/>
    <w:basedOn w:val="a"/>
    <w:link w:val="10"/>
    <w:qFormat/>
    <w:rsid w:val="001D004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iCs/>
      <w:kern w:val="0"/>
      <w:sz w:val="28"/>
      <w:szCs w:val="28"/>
    </w:rPr>
  </w:style>
  <w:style w:type="character" w:customStyle="1" w:styleId="10">
    <w:name w:val="Стиль1 Знак"/>
    <w:basedOn w:val="a0"/>
    <w:link w:val="1"/>
    <w:rsid w:val="001D004C"/>
    <w:rPr>
      <w:rFonts w:ascii="Times New Roman" w:hAnsi="Times New Roman" w:cs="Times New Roman"/>
      <w:iCs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2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1&amp;dst=101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2025-06-06T10:46:00Z</cp:lastPrinted>
  <dcterms:created xsi:type="dcterms:W3CDTF">2025-06-05T07:09:00Z</dcterms:created>
  <dcterms:modified xsi:type="dcterms:W3CDTF">2025-06-06T10:58:00Z</dcterms:modified>
</cp:coreProperties>
</file>